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918"/>
      </w:tblGrid>
      <w:tr w:rsidR="00CE544A" w:rsidRPr="00975B07" w:rsidTr="00AD3FA4">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918"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AD3FA4">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918" w:type="dxa"/>
            <w:shd w:val="clear" w:color="auto" w:fill="auto"/>
          </w:tcPr>
          <w:p w:rsidR="00F445B1" w:rsidRPr="001356F1" w:rsidRDefault="00D14359" w:rsidP="00D14359">
            <w:pPr>
              <w:rPr>
                <w:b/>
              </w:rPr>
            </w:pPr>
            <w:r>
              <w:rPr>
                <w:rStyle w:val="Firstpagetablebold"/>
              </w:rPr>
              <w:t>16</w:t>
            </w:r>
            <w:r w:rsidR="00351A2D">
              <w:rPr>
                <w:rStyle w:val="Firstpagetablebold"/>
              </w:rPr>
              <w:t xml:space="preserve"> October 2018</w:t>
            </w:r>
          </w:p>
        </w:tc>
      </w:tr>
      <w:tr w:rsidR="00CE544A" w:rsidRPr="00975B07" w:rsidTr="00AD3FA4">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918" w:type="dxa"/>
            <w:shd w:val="clear" w:color="auto" w:fill="auto"/>
          </w:tcPr>
          <w:p w:rsidR="00F445B1" w:rsidRPr="001356F1" w:rsidRDefault="00440938" w:rsidP="00485ECF">
            <w:pPr>
              <w:rPr>
                <w:rStyle w:val="Firstpagetablebold"/>
              </w:rPr>
            </w:pPr>
            <w:r w:rsidRPr="00440938">
              <w:rPr>
                <w:b/>
              </w:rPr>
              <w:t xml:space="preserve">Head of Housing </w:t>
            </w:r>
          </w:p>
        </w:tc>
      </w:tr>
      <w:tr w:rsidR="00CE544A" w:rsidRPr="00975B07" w:rsidTr="00AD3FA4">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918" w:type="dxa"/>
            <w:shd w:val="clear" w:color="auto" w:fill="auto"/>
          </w:tcPr>
          <w:p w:rsidR="00F445B1" w:rsidRPr="001356F1" w:rsidRDefault="00AD3FA4" w:rsidP="00AD3FA4">
            <w:pPr>
              <w:ind w:left="5370" w:hanging="5370"/>
              <w:rPr>
                <w:rStyle w:val="Firstpagetablebold"/>
              </w:rPr>
            </w:pPr>
            <w:r>
              <w:rPr>
                <w:rStyle w:val="Firstpagetablebold"/>
              </w:rPr>
              <w:t>Investment in the National Homelessness Property Fund</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D3FA4" w:rsidP="00AD3FA4">
            <w:r>
              <w:t xml:space="preserve">For </w:t>
            </w:r>
            <w:r w:rsidR="00440938">
              <w:t xml:space="preserve">the </w:t>
            </w:r>
            <w:r w:rsidR="00440938" w:rsidRPr="00440938">
              <w:t>City Executive Board</w:t>
            </w:r>
            <w:r w:rsidR="00440938">
              <w:t xml:space="preserve"> </w:t>
            </w:r>
            <w:r>
              <w:t>to note that the Council is making a further £5m social investment in the National Homelessness Property Fund (NHPF)</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440938">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AD3FA4">
            <w:r w:rsidRPr="001356F1">
              <w:t xml:space="preserve">Councillor </w:t>
            </w:r>
            <w:r w:rsidR="00440938">
              <w:t xml:space="preserve">Linda Smith, </w:t>
            </w:r>
            <w:r w:rsidR="00AD3FA4">
              <w:t>Deputy Leader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440938"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7219A8" w:rsidP="005F7F7E">
            <w:r>
              <w:t>Housing and Homelessness Strategy 2018 to 2021</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8E75D5">
            <w:r>
              <w:rPr>
                <w:rStyle w:val="Firstpagetablebold"/>
              </w:rPr>
              <w:t>Recommendations:</w:t>
            </w:r>
            <w:r w:rsidR="001F32F9">
              <w:rPr>
                <w:rStyle w:val="Firstpagetablebold"/>
              </w:rPr>
              <w:t xml:space="preserve"> </w:t>
            </w:r>
            <w:r w:rsidRPr="008E75D5">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091E0D" w:rsidRDefault="00091E0D" w:rsidP="004A6D2F"/>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091E0D" w:rsidRDefault="00091E0D" w:rsidP="002069B3">
            <w:pPr>
              <w:rPr>
                <w:rStyle w:val="Firstpagetablebold"/>
                <w:b w:val="0"/>
              </w:rPr>
            </w:pPr>
          </w:p>
          <w:p w:rsidR="0030208D" w:rsidRPr="00AC17AF" w:rsidRDefault="008E75D5" w:rsidP="002069B3">
            <w:pPr>
              <w:rPr>
                <w:b/>
              </w:rPr>
            </w:pPr>
            <w:r w:rsidRPr="008E75D5">
              <w:rPr>
                <w:rStyle w:val="Firstpagetablebold"/>
              </w:rPr>
              <w:t>N</w:t>
            </w:r>
            <w:r w:rsidR="00AD3FA4" w:rsidRPr="008E75D5">
              <w:rPr>
                <w:rStyle w:val="Firstpagetablebold"/>
              </w:rPr>
              <w:t>ote</w:t>
            </w:r>
            <w:r w:rsidR="00AD3FA4">
              <w:rPr>
                <w:rStyle w:val="Firstpagetablebold"/>
                <w:b w:val="0"/>
              </w:rPr>
              <w:t xml:space="preserve"> that officers have used </w:t>
            </w:r>
            <w:r w:rsidR="005E0CD1">
              <w:rPr>
                <w:rStyle w:val="Firstpagetablebold"/>
                <w:b w:val="0"/>
              </w:rPr>
              <w:t xml:space="preserve">the </w:t>
            </w:r>
            <w:r w:rsidR="00AD3FA4">
              <w:rPr>
                <w:rStyle w:val="Firstpagetablebold"/>
                <w:b w:val="0"/>
              </w:rPr>
              <w:t xml:space="preserve"> authority </w:t>
            </w:r>
            <w:r w:rsidR="005E0CD1">
              <w:rPr>
                <w:rStyle w:val="Firstpagetablebold"/>
                <w:b w:val="0"/>
              </w:rPr>
              <w:t xml:space="preserve">previously delegated </w:t>
            </w:r>
            <w:r w:rsidR="00AD3FA4">
              <w:rPr>
                <w:rStyle w:val="Firstpagetablebold"/>
                <w:b w:val="0"/>
              </w:rPr>
              <w:t xml:space="preserve">to </w:t>
            </w:r>
            <w:r w:rsidR="005E0CD1">
              <w:rPr>
                <w:rStyle w:val="Firstpagetablebold"/>
                <w:b w:val="0"/>
              </w:rPr>
              <w:t xml:space="preserve">them to </w:t>
            </w:r>
            <w:r w:rsidR="00AD3FA4">
              <w:rPr>
                <w:rStyle w:val="Firstpagetablebold"/>
                <w:b w:val="0"/>
              </w:rPr>
              <w:t xml:space="preserve">agree to a further £5m investment in the </w:t>
            </w:r>
            <w:r w:rsidR="00AD3FA4">
              <w:t>National Homelessness Property Fund (NHPF)</w:t>
            </w:r>
            <w:r w:rsidR="001F32F9">
              <w:t>; and</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AC17AF" w:rsidRDefault="008E75D5" w:rsidP="00AD3FA4">
            <w:pPr>
              <w:rPr>
                <w:b/>
              </w:rPr>
            </w:pPr>
            <w:r w:rsidRPr="008E75D5">
              <w:rPr>
                <w:rStyle w:val="Firstpagetablebold"/>
              </w:rPr>
              <w:t>E</w:t>
            </w:r>
            <w:r w:rsidR="00AD3FA4" w:rsidRPr="008E75D5">
              <w:rPr>
                <w:rStyle w:val="Firstpagetablebold"/>
              </w:rPr>
              <w:t>ndorse</w:t>
            </w:r>
            <w:r w:rsidR="00AD3FA4">
              <w:rPr>
                <w:rStyle w:val="Firstpagetablebold"/>
                <w:b w:val="0"/>
              </w:rPr>
              <w:t xml:space="preserve"> this approach</w:t>
            </w:r>
            <w:r w:rsidR="005E0CD1">
              <w:rPr>
                <w:rStyle w:val="Firstpagetablebold"/>
                <w:b w:val="0"/>
              </w:rPr>
              <w:t>,</w:t>
            </w:r>
            <w:r w:rsidR="00AD3FA4">
              <w:rPr>
                <w:rStyle w:val="Firstpagetablebold"/>
                <w:b w:val="0"/>
              </w:rPr>
              <w:t xml:space="preserve">, </w:t>
            </w:r>
            <w:r w:rsidR="005E0CD1">
              <w:rPr>
                <w:rStyle w:val="Firstpagetablebold"/>
                <w:b w:val="0"/>
              </w:rPr>
              <w:t>by</w:t>
            </w:r>
            <w:r w:rsidR="00AD3FA4">
              <w:rPr>
                <w:rStyle w:val="Firstpagetablebold"/>
                <w:b w:val="0"/>
              </w:rPr>
              <w:t xml:space="preserve"> which the Council is taking further action to help meet the housing needs of homeless households in Oxford, through improved access to suitable and affordable private rented accommodation.</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574FF" w:rsidRPr="00975B07" w:rsidTr="00A46E98">
        <w:tc>
          <w:tcPr>
            <w:tcW w:w="2438" w:type="dxa"/>
            <w:tcBorders>
              <w:top w:val="nil"/>
              <w:left w:val="single" w:sz="8" w:space="0" w:color="000000"/>
              <w:bottom w:val="single" w:sz="8" w:space="0" w:color="000000"/>
              <w:right w:val="nil"/>
            </w:tcBorders>
            <w:shd w:val="clear" w:color="auto" w:fill="auto"/>
          </w:tcPr>
          <w:p w:rsidR="00E574FF" w:rsidRPr="00975B07" w:rsidRDefault="00E574FF" w:rsidP="00D43A2A">
            <w:r w:rsidRPr="00975B07">
              <w:t xml:space="preserve">Appendix </w:t>
            </w:r>
            <w:r>
              <w:t>1</w:t>
            </w:r>
          </w:p>
        </w:tc>
        <w:tc>
          <w:tcPr>
            <w:tcW w:w="6406" w:type="dxa"/>
            <w:tcBorders>
              <w:top w:val="nil"/>
              <w:left w:val="nil"/>
              <w:bottom w:val="single" w:sz="8" w:space="0" w:color="000000"/>
              <w:right w:val="single" w:sz="8" w:space="0" w:color="000000"/>
            </w:tcBorders>
          </w:tcPr>
          <w:p w:rsidR="00E574FF" w:rsidRPr="001356F1" w:rsidRDefault="00E574FF" w:rsidP="00D43A2A">
            <w:r>
              <w:t xml:space="preserve">Initial Equality Impact Assessment </w:t>
            </w:r>
          </w:p>
        </w:tc>
      </w:tr>
      <w:tr w:rsidR="00E574FF" w:rsidRPr="00975B07" w:rsidTr="00A46E98">
        <w:tc>
          <w:tcPr>
            <w:tcW w:w="2438" w:type="dxa"/>
            <w:tcBorders>
              <w:top w:val="nil"/>
              <w:left w:val="single" w:sz="8" w:space="0" w:color="000000"/>
              <w:bottom w:val="single" w:sz="8" w:space="0" w:color="000000"/>
              <w:right w:val="nil"/>
            </w:tcBorders>
            <w:shd w:val="clear" w:color="auto" w:fill="auto"/>
          </w:tcPr>
          <w:p w:rsidR="00E574FF" w:rsidRPr="00975B07" w:rsidRDefault="00E574FF" w:rsidP="00D43A2A">
            <w:r>
              <w:t xml:space="preserve">Appendix 2 </w:t>
            </w:r>
          </w:p>
        </w:tc>
        <w:tc>
          <w:tcPr>
            <w:tcW w:w="6406" w:type="dxa"/>
            <w:tcBorders>
              <w:top w:val="nil"/>
              <w:left w:val="nil"/>
              <w:bottom w:val="single" w:sz="8" w:space="0" w:color="000000"/>
              <w:right w:val="single" w:sz="8" w:space="0" w:color="000000"/>
            </w:tcBorders>
          </w:tcPr>
          <w:p w:rsidR="00E574FF" w:rsidRPr="001356F1" w:rsidRDefault="00E574FF" w:rsidP="00D43A2A">
            <w:r>
              <w:t xml:space="preserve">Risk Register </w:t>
            </w:r>
          </w:p>
        </w:tc>
      </w:tr>
    </w:tbl>
    <w:p w:rsidR="00BC313F" w:rsidRDefault="00BC313F" w:rsidP="004A6D2F">
      <w:pPr>
        <w:pStyle w:val="Heading1"/>
      </w:pPr>
    </w:p>
    <w:p w:rsidR="008E75D5" w:rsidRDefault="008E75D5" w:rsidP="008E75D5"/>
    <w:p w:rsidR="001F32F9" w:rsidRDefault="001F32F9" w:rsidP="008E75D5"/>
    <w:p w:rsidR="008E75D5" w:rsidRPr="008E75D5" w:rsidRDefault="008E75D5" w:rsidP="008E75D5"/>
    <w:p w:rsidR="0040736F" w:rsidRPr="001356F1" w:rsidRDefault="00F66DCA" w:rsidP="004A6D2F">
      <w:pPr>
        <w:pStyle w:val="Heading1"/>
      </w:pPr>
      <w:r w:rsidRPr="001356F1">
        <w:lastRenderedPageBreak/>
        <w:t xml:space="preserve">Introduction and </w:t>
      </w:r>
      <w:r w:rsidR="000A3416">
        <w:t>B</w:t>
      </w:r>
      <w:r w:rsidR="00151888" w:rsidRPr="001356F1">
        <w:t>ackground</w:t>
      </w:r>
      <w:r w:rsidR="00404032" w:rsidRPr="001356F1">
        <w:t xml:space="preserve"> </w:t>
      </w:r>
    </w:p>
    <w:p w:rsidR="00AD3FA4" w:rsidRDefault="00C60B7D" w:rsidP="005570B5">
      <w:pPr>
        <w:pStyle w:val="ListParagraph"/>
      </w:pPr>
      <w:r>
        <w:t>This r</w:t>
      </w:r>
      <w:r w:rsidR="00AD3FA4">
        <w:t>eport is further to the City Executive Board report of 30</w:t>
      </w:r>
      <w:r w:rsidR="00AD3FA4" w:rsidRPr="00AD3FA4">
        <w:rPr>
          <w:vertAlign w:val="superscript"/>
        </w:rPr>
        <w:t>th</w:t>
      </w:r>
      <w:r w:rsidR="00AD3FA4">
        <w:t xml:space="preserve"> July 2015, which awarded Project Approval to this initiative, with delegated authority to </w:t>
      </w:r>
      <w:r w:rsidR="00D14359">
        <w:t>the Head of Housing and the Head of Financial Services</w:t>
      </w:r>
      <w:r w:rsidR="00AD3FA4">
        <w:t xml:space="preserve"> to enter into contractual arrangements, and</w:t>
      </w:r>
      <w:r w:rsidR="00091E0D">
        <w:t xml:space="preserve"> further</w:t>
      </w:r>
      <w:r w:rsidR="00AD3FA4">
        <w:t xml:space="preserve"> to the report to Council of 23</w:t>
      </w:r>
      <w:r w:rsidR="00AD3FA4" w:rsidRPr="00AD3FA4">
        <w:rPr>
          <w:vertAlign w:val="superscript"/>
        </w:rPr>
        <w:t>rd</w:t>
      </w:r>
      <w:r w:rsidR="00AD3FA4">
        <w:t xml:space="preserve"> September 2015</w:t>
      </w:r>
      <w:r w:rsidR="00091E0D">
        <w:t xml:space="preserve">, which </w:t>
      </w:r>
      <w:proofErr w:type="gramStart"/>
      <w:r w:rsidR="00091E0D">
        <w:t xml:space="preserve">allocated </w:t>
      </w:r>
      <w:r w:rsidR="00712B00">
        <w:t xml:space="preserve"> £</w:t>
      </w:r>
      <w:proofErr w:type="gramEnd"/>
      <w:r w:rsidR="00712B00">
        <w:t>5m for the social investment in the ‘Real Lettings’ (now the NHPF) initiative to be made</w:t>
      </w:r>
      <w:r w:rsidR="00AD3FA4">
        <w:t>.</w:t>
      </w:r>
      <w:r w:rsidR="00712B00">
        <w:t xml:space="preserve">  Agreements were signed in December 2015 to action this.</w:t>
      </w:r>
    </w:p>
    <w:p w:rsidR="00C60B7D" w:rsidRDefault="00712B00" w:rsidP="00C60B7D">
      <w:pPr>
        <w:pStyle w:val="ListParagraph"/>
      </w:pPr>
      <w:r>
        <w:t>City Executive Board and Council in February 2018 allocated a further £5m of capital investment for this purpose and officers have agreed to invest this in the NHPF also, using the same framework terms as previously agreed.</w:t>
      </w:r>
    </w:p>
    <w:p w:rsidR="00712B00" w:rsidRDefault="00712B00" w:rsidP="00712B00">
      <w:pPr>
        <w:pStyle w:val="ListParagraph"/>
        <w:numPr>
          <w:ilvl w:val="0"/>
          <w:numId w:val="0"/>
        </w:numPr>
        <w:ind w:left="360"/>
      </w:pPr>
    </w:p>
    <w:p w:rsidR="00712B00" w:rsidRDefault="001B7232" w:rsidP="001B7232">
      <w:pPr>
        <w:pStyle w:val="Heading1"/>
      </w:pPr>
      <w:r>
        <w:t>National Homelessness Property Fund</w:t>
      </w:r>
    </w:p>
    <w:p w:rsidR="00712B00" w:rsidRDefault="00712B00" w:rsidP="00712B00">
      <w:pPr>
        <w:pStyle w:val="ListParagraph"/>
      </w:pPr>
      <w:r>
        <w:t>The NHPF is an initiative operated by Resonance (fund managers) and St Mungo’s (national homeless charity</w:t>
      </w:r>
      <w:r w:rsidR="001F144F">
        <w:t>)</w:t>
      </w:r>
      <w:r>
        <w:t>.</w:t>
      </w:r>
      <w:r w:rsidR="00091E0D">
        <w:t xml:space="preserve">  </w:t>
      </w:r>
      <w:r>
        <w:t xml:space="preserve">The national fund currently stands at </w:t>
      </w:r>
      <w:r w:rsidR="001B7232">
        <w:t xml:space="preserve">approx. </w:t>
      </w:r>
      <w:r>
        <w:t>£38m (to the end of Dec 2017).  Bristol, Oxford and Milton Keynes Councils initially invested £5m each, which was ‘match-funded’ by a £15m investment from Big Society Capital. Bristol subsequently invested a further £5m, with the remaining £3m investment coming from various trust funds and individual investors.  The Real Lettings (London) Funds now stand at over £100m following a £15m investment from the GLA, in addition to other investors including the London Boroughs of Croydon, Lambeth and Westminster who have committed £45m between them.</w:t>
      </w:r>
    </w:p>
    <w:p w:rsidR="00C85B4E" w:rsidRDefault="00712B00" w:rsidP="00712B00">
      <w:pPr>
        <w:pStyle w:val="ListParagraph"/>
      </w:pPr>
      <w:r>
        <w:t>In summary, the model is that the Council secures an investment return as a social investor (approx. 2 to 3% per annum, plus any capital growth if/ when realised).  The investment is used to acquire property f</w:t>
      </w:r>
      <w:r w:rsidR="001B7232">
        <w:t>or</w:t>
      </w:r>
      <w:r>
        <w:t xml:space="preserve"> the property fund that is brought up to at least </w:t>
      </w:r>
      <w:proofErr w:type="gramStart"/>
      <w:r>
        <w:t>Decent Homes</w:t>
      </w:r>
      <w:proofErr w:type="gramEnd"/>
      <w:r>
        <w:t xml:space="preserve"> standard and is rented at LHA rates.  St Mungo’s </w:t>
      </w:r>
      <w:proofErr w:type="gramStart"/>
      <w:r>
        <w:t>manage</w:t>
      </w:r>
      <w:proofErr w:type="gramEnd"/>
      <w:r>
        <w:t xml:space="preserve"> and maintain the property, giving the Council nomination rights for households that would otherwise be homeless.  Tenants are given an Assured Shorthold Tenancy and St Mungo’s are commissioned to support households with employment, training and money management, to assist move-on (elsewhere in the PRS) over 2-3 years.</w:t>
      </w:r>
      <w:r w:rsidR="001B7232">
        <w:t xml:space="preserve">  T</w:t>
      </w:r>
      <w:r>
        <w:t>he property fund operates for a 7 year period – initially proposed as 2 years acquisition and 5 years operation.</w:t>
      </w:r>
    </w:p>
    <w:p w:rsidR="008D1452" w:rsidRDefault="008D1452" w:rsidP="008D1452">
      <w:pPr>
        <w:pStyle w:val="ListParagraph"/>
      </w:pPr>
      <w:r>
        <w:t xml:space="preserve">To date, 47 units have been acquired in the Oxford locality (against a target of 50 – comprising of 45 two beds and 5 one beds).  The initiative has been unable to secure many units in Oxford City itself however, and has had to secure units across the Oxford BRMA (Broad Rental Market Area), plus Banbury.  Various constraints impact on this.  The cost of housing in Oxford being the main factor (the financial model requires a net yield of over 3% per unit), but also including property space and specification requirements; accessible locations with regular and affordable public transport links to Oxford; and the requirement </w:t>
      </w:r>
      <w:r w:rsidR="001B7232">
        <w:t xml:space="preserve">for </w:t>
      </w:r>
      <w:r>
        <w:t xml:space="preserve">properties </w:t>
      </w:r>
      <w:r w:rsidR="001B7232">
        <w:t>to</w:t>
      </w:r>
      <w:r>
        <w:t xml:space="preserve"> be </w:t>
      </w:r>
      <w:proofErr w:type="spellStart"/>
      <w:r>
        <w:t>mortgagable</w:t>
      </w:r>
      <w:proofErr w:type="spellEnd"/>
      <w:r>
        <w:t>.</w:t>
      </w:r>
    </w:p>
    <w:p w:rsidR="008D1452" w:rsidRPr="001B7232" w:rsidRDefault="008D1452" w:rsidP="001B7232">
      <w:pPr>
        <w:pStyle w:val="ListParagraph"/>
        <w:rPr>
          <w:rStyle w:val="Firstpagetablebold"/>
          <w:b w:val="0"/>
        </w:rPr>
      </w:pPr>
      <w:r>
        <w:t xml:space="preserve">Having access to </w:t>
      </w:r>
      <w:r w:rsidR="00351A2D">
        <w:t xml:space="preserve">these </w:t>
      </w:r>
      <w:r>
        <w:t xml:space="preserve">additional units </w:t>
      </w:r>
      <w:r w:rsidR="00351A2D">
        <w:t xml:space="preserve">of accommodation </w:t>
      </w:r>
      <w:r>
        <w:t xml:space="preserve">in Oxfordshire has resulted in fewer families being accepted into temporary accommodation, that could have </w:t>
      </w:r>
      <w:r w:rsidRPr="003A55B8">
        <w:t>cost far more to the Council and with less settled outcomes for homeless households</w:t>
      </w:r>
      <w:r w:rsidR="001B7232">
        <w:t xml:space="preserve">.  </w:t>
      </w:r>
      <w:r w:rsidRPr="003A55B8">
        <w:t xml:space="preserve">A review of the scheme shows positive outcomes being achieved, and </w:t>
      </w:r>
      <w:r w:rsidR="001B7232">
        <w:t>good working relationships.</w:t>
      </w:r>
    </w:p>
    <w:p w:rsidR="0078757B" w:rsidRDefault="0078757B" w:rsidP="00D7340B">
      <w:pPr>
        <w:jc w:val="both"/>
        <w:rPr>
          <w:b/>
        </w:rPr>
      </w:pPr>
    </w:p>
    <w:p w:rsidR="00D7340B" w:rsidRDefault="000A3416" w:rsidP="00D7340B">
      <w:pPr>
        <w:jc w:val="both"/>
        <w:rPr>
          <w:b/>
        </w:rPr>
      </w:pPr>
      <w:r>
        <w:rPr>
          <w:b/>
        </w:rPr>
        <w:lastRenderedPageBreak/>
        <w:t>Second Round of Investment</w:t>
      </w:r>
    </w:p>
    <w:p w:rsidR="008D1452" w:rsidRDefault="000305D8" w:rsidP="008D1452">
      <w:pPr>
        <w:pStyle w:val="ListParagraph"/>
      </w:pPr>
      <w:r>
        <w:t>Officers</w:t>
      </w:r>
      <w:r w:rsidR="00D7340B">
        <w:t xml:space="preserve"> consider </w:t>
      </w:r>
      <w:r w:rsidR="001B7232">
        <w:t>that t</w:t>
      </w:r>
      <w:r w:rsidR="008D1452">
        <w:t>his option provide</w:t>
      </w:r>
      <w:r w:rsidR="00351A2D">
        <w:t>d</w:t>
      </w:r>
      <w:r w:rsidR="008D1452">
        <w:t xml:space="preserve"> a straight forward opportunity, with agreements and structures already in place to support rapid delivery.  Activity to date has affirmed financial modelling and sensitivity analyses that w</w:t>
      </w:r>
      <w:r w:rsidR="00351A2D">
        <w:t xml:space="preserve">as previously </w:t>
      </w:r>
      <w:r w:rsidR="008D1452">
        <w:t xml:space="preserve">undertaken.  It would continue to allow the Council’s Options Team to have access to a suitable and affordable PRS locally, predominately for low-waged working families that require a home </w:t>
      </w:r>
      <w:r w:rsidR="001B7232">
        <w:t xml:space="preserve">in, or </w:t>
      </w:r>
      <w:r w:rsidR="008D1452">
        <w:t xml:space="preserve">close to the city, reducing pressure on temporary accommodation (especially following implementation of the Homelessness Reduction Act).  </w:t>
      </w:r>
    </w:p>
    <w:p w:rsidR="008D1452" w:rsidRDefault="008D1452" w:rsidP="008D1452">
      <w:pPr>
        <w:pStyle w:val="ListParagraph"/>
      </w:pPr>
      <w:r>
        <w:t>Further match-investment funding from Big Society Capital is no longer on offer, so the £5m investment this time has no guarantee of attracting further investment</w:t>
      </w:r>
      <w:r w:rsidR="00351A2D">
        <w:t>. This</w:t>
      </w:r>
      <w:r>
        <w:t xml:space="preserve"> reduces the ‘value for money’ of the scheme compared to previously, and would not allow for </w:t>
      </w:r>
      <w:r w:rsidR="00351A2D">
        <w:t>further r</w:t>
      </w:r>
      <w:r>
        <w:t>evenue savings to be made</w:t>
      </w:r>
      <w:r w:rsidR="00351A2D">
        <w:t xml:space="preserve"> beyond those in the MTFP</w:t>
      </w:r>
      <w:r>
        <w:t xml:space="preserve">.  </w:t>
      </w:r>
      <w:proofErr w:type="gramStart"/>
      <w:r w:rsidR="00351A2D">
        <w:t>Resonance continue</w:t>
      </w:r>
      <w:proofErr w:type="gramEnd"/>
      <w:r w:rsidR="00351A2D">
        <w:t xml:space="preserve"> to seek further investment however, w</w:t>
      </w:r>
      <w:r>
        <w:t xml:space="preserve">ith the fund value </w:t>
      </w:r>
      <w:r w:rsidR="00351A2D">
        <w:t xml:space="preserve">continuing to rise.  A further investment from </w:t>
      </w:r>
      <w:r>
        <w:t xml:space="preserve">Oxford </w:t>
      </w:r>
      <w:r w:rsidR="00351A2D">
        <w:t xml:space="preserve">City Council will </w:t>
      </w:r>
      <w:r>
        <w:t xml:space="preserve">attract </w:t>
      </w:r>
      <w:r w:rsidR="00351A2D">
        <w:t xml:space="preserve">a greater </w:t>
      </w:r>
      <w:r>
        <w:t>distribution of any future non-area-specific investment, into Oxford as the scheme grows.</w:t>
      </w:r>
    </w:p>
    <w:p w:rsidR="008D1452" w:rsidRDefault="008D1452" w:rsidP="008D1452">
      <w:pPr>
        <w:pStyle w:val="ListParagraph"/>
      </w:pPr>
      <w:r>
        <w:t xml:space="preserve">Officers </w:t>
      </w:r>
      <w:r w:rsidR="00351A2D">
        <w:t xml:space="preserve">have </w:t>
      </w:r>
      <w:r>
        <w:t>change</w:t>
      </w:r>
      <w:r w:rsidR="00351A2D">
        <w:t>d</w:t>
      </w:r>
      <w:r>
        <w:t xml:space="preserve"> the </w:t>
      </w:r>
      <w:r w:rsidR="00351A2D">
        <w:t xml:space="preserve">property </w:t>
      </w:r>
      <w:r>
        <w:t xml:space="preserve">specification to require </w:t>
      </w:r>
      <w:r w:rsidR="00351A2D">
        <w:t xml:space="preserve">that </w:t>
      </w:r>
      <w:r w:rsidR="001F144F">
        <w:t>the majority of</w:t>
      </w:r>
      <w:r w:rsidR="00351A2D">
        <w:t xml:space="preserve"> property acquired</w:t>
      </w:r>
      <w:r w:rsidR="001F144F">
        <w:t xml:space="preserve"> is</w:t>
      </w:r>
      <w:r w:rsidR="00351A2D">
        <w:t xml:space="preserve"> in Oxford, or the next nearest urban areas</w:t>
      </w:r>
      <w:r w:rsidR="001F144F">
        <w:t xml:space="preserve"> (and within </w:t>
      </w:r>
      <w:r>
        <w:t>five miles</w:t>
      </w:r>
      <w:r w:rsidR="001F144F">
        <w:t>)</w:t>
      </w:r>
      <w:r>
        <w:t xml:space="preserve">, </w:t>
      </w:r>
      <w:r w:rsidR="001F144F">
        <w:t xml:space="preserve">which is </w:t>
      </w:r>
      <w:r>
        <w:t>a</w:t>
      </w:r>
      <w:r w:rsidR="00351A2D">
        <w:t>s the financial model allows</w:t>
      </w:r>
      <w:r>
        <w:t xml:space="preserve">.  A market analysis suggests that £5m would now (with market forces at work and changing area of operation) acquire </w:t>
      </w:r>
      <w:r w:rsidR="00351A2D">
        <w:t xml:space="preserve">up to </w:t>
      </w:r>
      <w:r>
        <w:t xml:space="preserve">20 units (across a 1, 2 and 3 bed mix) </w:t>
      </w:r>
      <w:r w:rsidR="00351A2D">
        <w:t>over an</w:t>
      </w:r>
      <w:r>
        <w:t xml:space="preserve"> acquisition period </w:t>
      </w:r>
      <w:r w:rsidR="00351A2D">
        <w:t>from autumn 2018 to summer 2019.  The mobilisation with the NHPF team can start immediately.</w:t>
      </w:r>
    </w:p>
    <w:p w:rsidR="008D1452" w:rsidRDefault="008D1452" w:rsidP="00351A2D">
      <w:pPr>
        <w:pStyle w:val="ListParagraph"/>
        <w:numPr>
          <w:ilvl w:val="0"/>
          <w:numId w:val="0"/>
        </w:numPr>
        <w:ind w:left="360"/>
      </w:pPr>
    </w:p>
    <w:p w:rsidR="008D1452" w:rsidRPr="000A3416" w:rsidRDefault="008D1452" w:rsidP="008D1452">
      <w:pPr>
        <w:rPr>
          <w:b/>
        </w:rPr>
      </w:pPr>
      <w:r w:rsidRPr="000A3416">
        <w:rPr>
          <w:b/>
        </w:rPr>
        <w:t xml:space="preserve">Alternative Options </w:t>
      </w:r>
    </w:p>
    <w:p w:rsidR="008D1452" w:rsidRDefault="00351A2D" w:rsidP="008D1452">
      <w:pPr>
        <w:pStyle w:val="ListParagraph"/>
      </w:pPr>
      <w:r>
        <w:t xml:space="preserve">Officers have re-considered </w:t>
      </w:r>
      <w:r w:rsidR="000A3416">
        <w:t>other approaches that the Council could take to invest this funding for similar purposes, but have discounted these.  These included:</w:t>
      </w:r>
    </w:p>
    <w:p w:rsidR="008D1452" w:rsidRDefault="000A3416" w:rsidP="000A3416">
      <w:pPr>
        <w:pStyle w:val="ListParagraph"/>
      </w:pPr>
      <w:r>
        <w:t>Direct acquisitions itself (whether in the General Fund or as a loan to OCHL).  Whilst t</w:t>
      </w:r>
      <w:r w:rsidR="008D1452">
        <w:t xml:space="preserve">he Council may be able to buy property at </w:t>
      </w:r>
      <w:r>
        <w:t xml:space="preserve">similar </w:t>
      </w:r>
      <w:r w:rsidR="008D1452">
        <w:t>value</w:t>
      </w:r>
      <w:r>
        <w:t xml:space="preserve">, this would need to be </w:t>
      </w:r>
      <w:r w:rsidR="008D1452">
        <w:t>lease</w:t>
      </w:r>
      <w:r>
        <w:t xml:space="preserve">d to a third party to </w:t>
      </w:r>
      <w:r w:rsidR="008D1452">
        <w:t>manage and receive nominations (as St Mungo’s do for the NHPF)</w:t>
      </w:r>
      <w:r>
        <w:t xml:space="preserve">, in order to use Assured Shorthold Tenancies (ASTs) - that the Council cannot issue – as entry-level PRS accommodation, with a reasonable </w:t>
      </w:r>
      <w:r w:rsidR="001F144F">
        <w:t>throughput of</w:t>
      </w:r>
      <w:r>
        <w:t xml:space="preserve"> households</w:t>
      </w:r>
      <w:r w:rsidR="001F144F">
        <w:t xml:space="preserve"> positively moving on</w:t>
      </w:r>
      <w:r>
        <w:t>.  T</w:t>
      </w:r>
      <w:r w:rsidR="008D1452">
        <w:t>his will take time and resource capacity to achieve and, as such, will not be able to proceed quickly.</w:t>
      </w:r>
      <w:r>
        <w:t xml:space="preserve">  The Housing Company could issue ASTs, but </w:t>
      </w:r>
      <w:r w:rsidR="008D1452">
        <w:t xml:space="preserve">RRTB receipts could </w:t>
      </w:r>
      <w:r w:rsidR="008D1452" w:rsidRPr="000A3416">
        <w:t>not</w:t>
      </w:r>
      <w:r w:rsidR="008D1452" w:rsidRPr="00174F6A">
        <w:t xml:space="preserve"> </w:t>
      </w:r>
      <w:r w:rsidR="008D1452">
        <w:t>be used for this purpose under current regulations</w:t>
      </w:r>
      <w:r w:rsidR="001F144F">
        <w:t>, which reduces the value for money</w:t>
      </w:r>
      <w:r w:rsidR="008D1452">
        <w:t xml:space="preserve">.  </w:t>
      </w:r>
    </w:p>
    <w:p w:rsidR="008D1452" w:rsidRPr="0041308D" w:rsidRDefault="008D1452" w:rsidP="008D1452">
      <w:pPr>
        <w:pStyle w:val="ListParagraph"/>
      </w:pPr>
      <w:r>
        <w:t xml:space="preserve">Alternative investment products </w:t>
      </w:r>
      <w:r w:rsidR="000A3416">
        <w:t>(</w:t>
      </w:r>
      <w:r>
        <w:t>Council and private company</w:t>
      </w:r>
      <w:r w:rsidR="000A3416">
        <w:t xml:space="preserve"> partnerships</w:t>
      </w:r>
      <w:r>
        <w:t>)</w:t>
      </w:r>
      <w:r w:rsidRPr="0041308D">
        <w:t xml:space="preserve"> </w:t>
      </w:r>
      <w:r>
        <w:t>are possible, but would require more project resource capacity to consider and investigate further, and this is likely to delay any implementation.</w:t>
      </w:r>
    </w:p>
    <w:p w:rsidR="00FE035B" w:rsidRDefault="00FE035B" w:rsidP="00FE035B">
      <w:pPr>
        <w:ind w:left="360"/>
      </w:pPr>
    </w:p>
    <w:p w:rsidR="009928A4" w:rsidRDefault="009928A4" w:rsidP="009928A4">
      <w:pPr>
        <w:rPr>
          <w:b/>
        </w:rPr>
      </w:pPr>
      <w:r>
        <w:rPr>
          <w:b/>
        </w:rPr>
        <w:t>Financial Implications:</w:t>
      </w:r>
    </w:p>
    <w:p w:rsidR="008D1452" w:rsidRDefault="008D1452" w:rsidP="00102CD1">
      <w:pPr>
        <w:pStyle w:val="ListParagraph"/>
      </w:pPr>
      <w:r>
        <w:t xml:space="preserve">The scheme is deemed suitable for the use of Retained Right to Buy (RRTB) receipts at 30% of the investment, and has contributed to the Council meeting these spend targets (spend within three years of receipt).  </w:t>
      </w:r>
    </w:p>
    <w:p w:rsidR="008D1452" w:rsidRDefault="008D1452" w:rsidP="001A67B3">
      <w:pPr>
        <w:pStyle w:val="ListParagraph"/>
      </w:pPr>
      <w:r>
        <w:lastRenderedPageBreak/>
        <w:t>Despite the changes to the business case and model, as outline above, this approach is still considered viable</w:t>
      </w:r>
      <w:r w:rsidR="000A3416">
        <w:t xml:space="preserve"> and cost effective</w:t>
      </w:r>
      <w:r>
        <w:t>.  When taken overall, this is part of a £25m investment commitment from the Council, to date, comprising of this £5m investment, along with the previous investment in the NHPF (£5m from the Council and £5m+ match investment), plus £10m in acquiring property for use as homeless temporary accommodation.  This is budgeted to achieve £400,000 of revenue savings over the term of the MTFP.  This assumption is still expected to be achieved</w:t>
      </w:r>
      <w:r w:rsidR="001A67B3">
        <w:t xml:space="preserve"> in full</w:t>
      </w:r>
      <w:r>
        <w:t>.</w:t>
      </w:r>
    </w:p>
    <w:p w:rsidR="001A67B3" w:rsidRPr="00FD6DBD" w:rsidRDefault="001A67B3" w:rsidP="001A67B3">
      <w:pPr>
        <w:pStyle w:val="ListParagraph"/>
        <w:numPr>
          <w:ilvl w:val="0"/>
          <w:numId w:val="0"/>
        </w:numPr>
        <w:ind w:left="360"/>
      </w:pPr>
    </w:p>
    <w:p w:rsidR="0040736F" w:rsidRPr="001356F1" w:rsidRDefault="00DA614B" w:rsidP="004A6D2F">
      <w:pPr>
        <w:pStyle w:val="Heading1"/>
      </w:pPr>
      <w:r w:rsidRPr="001356F1">
        <w:t>Legal issues</w:t>
      </w:r>
    </w:p>
    <w:p w:rsidR="00712B00" w:rsidRPr="0078757B" w:rsidRDefault="001A67B3" w:rsidP="001A67B3">
      <w:pPr>
        <w:pStyle w:val="ListParagraph"/>
      </w:pPr>
      <w:r>
        <w:t xml:space="preserve">Agreements concerning the investment and the nomination rights were agreed in December 2015.  Agreement for this second round of investment has been made on the same basis as already agreed. </w:t>
      </w:r>
    </w:p>
    <w:p w:rsidR="002329CF" w:rsidRPr="001356F1" w:rsidRDefault="002329CF" w:rsidP="0050321C">
      <w:pPr>
        <w:pStyle w:val="Heading1"/>
      </w:pPr>
      <w:r w:rsidRPr="001356F1">
        <w:t xml:space="preserve">Equalities impact </w:t>
      </w:r>
    </w:p>
    <w:p w:rsidR="002329CF" w:rsidRDefault="00E574FF" w:rsidP="005570B5">
      <w:pPr>
        <w:pStyle w:val="ListParagraph"/>
      </w:pPr>
      <w:r>
        <w:t>This is attached as Appendix 1</w:t>
      </w:r>
      <w:r w:rsidR="001428FC">
        <w:t>.</w:t>
      </w:r>
    </w:p>
    <w:p w:rsidR="00E574FF" w:rsidRPr="001356F1" w:rsidRDefault="00E574FF" w:rsidP="00E574FF">
      <w:pPr>
        <w:pStyle w:val="Heading1"/>
      </w:pPr>
      <w:r w:rsidRPr="001356F1">
        <w:t>Level of risk</w:t>
      </w:r>
    </w:p>
    <w:p w:rsidR="00E574FF" w:rsidRPr="001356F1" w:rsidRDefault="00712B00" w:rsidP="00E574FF">
      <w:pPr>
        <w:pStyle w:val="ListParagraph"/>
      </w:pPr>
      <w:r>
        <w:t>A Risk R</w:t>
      </w:r>
      <w:r w:rsidR="00E574FF">
        <w:t>egister is attached as Appendix 2.</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12B00" w:rsidP="00712B00">
            <w:r>
              <w:t>Dave Scholes</w:t>
            </w:r>
            <w:r w:rsidR="00AF0CED">
              <w:t xml:space="preserve">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12B00" w:rsidP="00712B00">
            <w:r>
              <w:rPr>
                <w:rFonts w:cs="Arial"/>
                <w:bCs/>
                <w:color w:val="auto"/>
              </w:rPr>
              <w:t>Housing Strategy and Needs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E035B" w:rsidP="00AF0CED">
            <w:r w:rsidRPr="00FE035B">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658AA" w:rsidP="00712B00">
            <w:r>
              <w:t>01865 25</w:t>
            </w:r>
            <w:r w:rsidR="00712B00">
              <w:t>2636</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984DBD" w:rsidP="00712B00">
            <w:pPr>
              <w:rPr>
                <w:rStyle w:val="Hyperlink"/>
                <w:color w:val="000000"/>
              </w:rPr>
            </w:pPr>
            <w:r>
              <w:rPr>
                <w:rStyle w:val="Hyperlink"/>
                <w:color w:val="000000"/>
              </w:rPr>
              <w:t>d</w:t>
            </w:r>
            <w:r w:rsidR="00712B00">
              <w:rPr>
                <w:rStyle w:val="Hyperlink"/>
                <w:color w:val="000000"/>
              </w:rPr>
              <w:t>scholes</w:t>
            </w:r>
            <w:r>
              <w:rPr>
                <w:rStyle w:val="Hyperlink"/>
                <w:color w:val="000000"/>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8E75D5"/>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BD" w:rsidRDefault="00BD4CBD" w:rsidP="004A6D2F">
      <w:r>
        <w:separator/>
      </w:r>
    </w:p>
  </w:endnote>
  <w:endnote w:type="continuationSeparator" w:id="0">
    <w:p w:rsidR="00BD4CBD" w:rsidRDefault="00BD4CB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BD" w:rsidRDefault="00BD4CBD" w:rsidP="004A6D2F">
      <w:r>
        <w:separator/>
      </w:r>
    </w:p>
  </w:footnote>
  <w:footnote w:type="continuationSeparator" w:id="0">
    <w:p w:rsidR="00BD4CBD" w:rsidRDefault="00BD4CB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9575A"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D72BBA"/>
    <w:multiLevelType w:val="hybridMultilevel"/>
    <w:tmpl w:val="884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1A4410"/>
    <w:multiLevelType w:val="hybridMultilevel"/>
    <w:tmpl w:val="39D40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0A4A7E"/>
    <w:multiLevelType w:val="hybridMultilevel"/>
    <w:tmpl w:val="0D98F9C4"/>
    <w:lvl w:ilvl="0" w:tplc="1BD03B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C13626"/>
    <w:multiLevelType w:val="hybridMultilevel"/>
    <w:tmpl w:val="5B900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1CD0ABE"/>
    <w:multiLevelType w:val="hybridMultilevel"/>
    <w:tmpl w:val="2BE0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462BD4"/>
    <w:multiLevelType w:val="hybridMultilevel"/>
    <w:tmpl w:val="64EE6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EC6CD3"/>
    <w:multiLevelType w:val="hybridMultilevel"/>
    <w:tmpl w:val="CAA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7E858E8"/>
    <w:multiLevelType w:val="hybridMultilevel"/>
    <w:tmpl w:val="0B7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8365C6"/>
    <w:multiLevelType w:val="multilevel"/>
    <w:tmpl w:val="95FEC580"/>
    <w:lvl w:ilvl="0">
      <w:start w:val="1"/>
      <w:numFmt w:val="decimal"/>
      <w:pStyle w:val="ListParagraph"/>
      <w:lvlText w:val="%1."/>
      <w:lvlJc w:val="left"/>
      <w:pPr>
        <w:ind w:left="786"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1"/>
  </w:num>
  <w:num w:numId="2">
    <w:abstractNumId w:val="37"/>
  </w:num>
  <w:num w:numId="3">
    <w:abstractNumId w:val="27"/>
  </w:num>
  <w:num w:numId="4">
    <w:abstractNumId w:val="22"/>
  </w:num>
  <w:num w:numId="5">
    <w:abstractNumId w:val="34"/>
  </w:num>
  <w:num w:numId="6">
    <w:abstractNumId w:val="38"/>
  </w:num>
  <w:num w:numId="7">
    <w:abstractNumId w:val="26"/>
  </w:num>
  <w:num w:numId="8">
    <w:abstractNumId w:val="23"/>
  </w:num>
  <w:num w:numId="9">
    <w:abstractNumId w:val="13"/>
  </w:num>
  <w:num w:numId="10">
    <w:abstractNumId w:val="15"/>
  </w:num>
  <w:num w:numId="11">
    <w:abstractNumId w:val="30"/>
  </w:num>
  <w:num w:numId="12">
    <w:abstractNumId w:val="29"/>
  </w:num>
  <w:num w:numId="13">
    <w:abstractNumId w:val="10"/>
  </w:num>
  <w:num w:numId="14">
    <w:abstractNumId w:val="40"/>
  </w:num>
  <w:num w:numId="15">
    <w:abstractNumId w:val="17"/>
  </w:num>
  <w:num w:numId="16">
    <w:abstractNumId w:val="11"/>
  </w:num>
  <w:num w:numId="17">
    <w:abstractNumId w:val="33"/>
  </w:num>
  <w:num w:numId="18">
    <w:abstractNumId w:val="12"/>
  </w:num>
  <w:num w:numId="19">
    <w:abstractNumId w:val="35"/>
  </w:num>
  <w:num w:numId="20">
    <w:abstractNumId w:val="18"/>
  </w:num>
  <w:num w:numId="21">
    <w:abstractNumId w:val="24"/>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21"/>
  </w:num>
  <w:num w:numId="39">
    <w:abstractNumId w:val="19"/>
  </w:num>
  <w:num w:numId="40">
    <w:abstractNumId w:val="2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5A"/>
    <w:rsid w:val="000117D4"/>
    <w:rsid w:val="000305D8"/>
    <w:rsid w:val="000314D7"/>
    <w:rsid w:val="00045F8B"/>
    <w:rsid w:val="00046D2B"/>
    <w:rsid w:val="000472E3"/>
    <w:rsid w:val="00050AC2"/>
    <w:rsid w:val="00056263"/>
    <w:rsid w:val="00064D06"/>
    <w:rsid w:val="00064D8A"/>
    <w:rsid w:val="00064F82"/>
    <w:rsid w:val="00066510"/>
    <w:rsid w:val="00077523"/>
    <w:rsid w:val="00091E0D"/>
    <w:rsid w:val="000A3416"/>
    <w:rsid w:val="000C089F"/>
    <w:rsid w:val="000C3928"/>
    <w:rsid w:val="000C5E8E"/>
    <w:rsid w:val="000F4751"/>
    <w:rsid w:val="00102CD1"/>
    <w:rsid w:val="0010524C"/>
    <w:rsid w:val="00111FB1"/>
    <w:rsid w:val="00113418"/>
    <w:rsid w:val="001356F1"/>
    <w:rsid w:val="00136994"/>
    <w:rsid w:val="0014128E"/>
    <w:rsid w:val="001428FC"/>
    <w:rsid w:val="00151888"/>
    <w:rsid w:val="001658AA"/>
    <w:rsid w:val="00170A2D"/>
    <w:rsid w:val="001808BC"/>
    <w:rsid w:val="00182B81"/>
    <w:rsid w:val="0018619D"/>
    <w:rsid w:val="00190358"/>
    <w:rsid w:val="00192CD5"/>
    <w:rsid w:val="001A011E"/>
    <w:rsid w:val="001A066A"/>
    <w:rsid w:val="001A13E6"/>
    <w:rsid w:val="001A5731"/>
    <w:rsid w:val="001A67B3"/>
    <w:rsid w:val="001B42C3"/>
    <w:rsid w:val="001B7232"/>
    <w:rsid w:val="001C5D5E"/>
    <w:rsid w:val="001D678D"/>
    <w:rsid w:val="001E03F8"/>
    <w:rsid w:val="001E1678"/>
    <w:rsid w:val="001E3376"/>
    <w:rsid w:val="001F144F"/>
    <w:rsid w:val="001F32F9"/>
    <w:rsid w:val="002069B3"/>
    <w:rsid w:val="002329CF"/>
    <w:rsid w:val="00232F5B"/>
    <w:rsid w:val="0023546E"/>
    <w:rsid w:val="00247C29"/>
    <w:rsid w:val="00260467"/>
    <w:rsid w:val="00263EA3"/>
    <w:rsid w:val="002812DE"/>
    <w:rsid w:val="00284F85"/>
    <w:rsid w:val="00290915"/>
    <w:rsid w:val="002A22E2"/>
    <w:rsid w:val="002C64F7"/>
    <w:rsid w:val="002F41F2"/>
    <w:rsid w:val="00301BF3"/>
    <w:rsid w:val="0030208D"/>
    <w:rsid w:val="00311EE8"/>
    <w:rsid w:val="00316590"/>
    <w:rsid w:val="00323418"/>
    <w:rsid w:val="003357BF"/>
    <w:rsid w:val="00351A2D"/>
    <w:rsid w:val="00364FAD"/>
    <w:rsid w:val="0036738F"/>
    <w:rsid w:val="0036759C"/>
    <w:rsid w:val="00367AE5"/>
    <w:rsid w:val="00367D71"/>
    <w:rsid w:val="0038150A"/>
    <w:rsid w:val="003A5805"/>
    <w:rsid w:val="003B6E75"/>
    <w:rsid w:val="003B7DA1"/>
    <w:rsid w:val="003D0379"/>
    <w:rsid w:val="003D2574"/>
    <w:rsid w:val="003D4C59"/>
    <w:rsid w:val="003F4267"/>
    <w:rsid w:val="003F50A4"/>
    <w:rsid w:val="00404032"/>
    <w:rsid w:val="0040736F"/>
    <w:rsid w:val="00412C1F"/>
    <w:rsid w:val="00421CB2"/>
    <w:rsid w:val="004268B9"/>
    <w:rsid w:val="00433B96"/>
    <w:rsid w:val="00440938"/>
    <w:rsid w:val="004440F1"/>
    <w:rsid w:val="004456DD"/>
    <w:rsid w:val="00446CDF"/>
    <w:rsid w:val="00447E62"/>
    <w:rsid w:val="004521B7"/>
    <w:rsid w:val="00462AB5"/>
    <w:rsid w:val="00465EAF"/>
    <w:rsid w:val="004738C5"/>
    <w:rsid w:val="00485ECF"/>
    <w:rsid w:val="00491046"/>
    <w:rsid w:val="00496104"/>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14D"/>
    <w:rsid w:val="005D1E27"/>
    <w:rsid w:val="005D2A3E"/>
    <w:rsid w:val="005E022E"/>
    <w:rsid w:val="005E0CD1"/>
    <w:rsid w:val="005E5215"/>
    <w:rsid w:val="005F7F7E"/>
    <w:rsid w:val="00601233"/>
    <w:rsid w:val="006028B2"/>
    <w:rsid w:val="00606A25"/>
    <w:rsid w:val="00607BFA"/>
    <w:rsid w:val="00614693"/>
    <w:rsid w:val="00623C2F"/>
    <w:rsid w:val="00633578"/>
    <w:rsid w:val="00637068"/>
    <w:rsid w:val="0064797F"/>
    <w:rsid w:val="00650811"/>
    <w:rsid w:val="006540B5"/>
    <w:rsid w:val="00661D3E"/>
    <w:rsid w:val="00692627"/>
    <w:rsid w:val="006969E7"/>
    <w:rsid w:val="006A3643"/>
    <w:rsid w:val="006B6DB6"/>
    <w:rsid w:val="006C202E"/>
    <w:rsid w:val="006C2A29"/>
    <w:rsid w:val="006C64CF"/>
    <w:rsid w:val="006D17B1"/>
    <w:rsid w:val="006D4752"/>
    <w:rsid w:val="006D708A"/>
    <w:rsid w:val="006E14C1"/>
    <w:rsid w:val="006F0292"/>
    <w:rsid w:val="006F27FA"/>
    <w:rsid w:val="006F416B"/>
    <w:rsid w:val="006F519B"/>
    <w:rsid w:val="006F65D6"/>
    <w:rsid w:val="00712B00"/>
    <w:rsid w:val="00713675"/>
    <w:rsid w:val="00715823"/>
    <w:rsid w:val="007219A8"/>
    <w:rsid w:val="00737B93"/>
    <w:rsid w:val="00745BF0"/>
    <w:rsid w:val="007615FE"/>
    <w:rsid w:val="0076655C"/>
    <w:rsid w:val="007742DC"/>
    <w:rsid w:val="0078757B"/>
    <w:rsid w:val="00791437"/>
    <w:rsid w:val="007B0C2C"/>
    <w:rsid w:val="007B278E"/>
    <w:rsid w:val="007C5C23"/>
    <w:rsid w:val="007E2A26"/>
    <w:rsid w:val="007F2348"/>
    <w:rsid w:val="00803F07"/>
    <w:rsid w:val="0080749A"/>
    <w:rsid w:val="00821FB8"/>
    <w:rsid w:val="00822ACD"/>
    <w:rsid w:val="00836979"/>
    <w:rsid w:val="00855C66"/>
    <w:rsid w:val="00871EE4"/>
    <w:rsid w:val="008A6F43"/>
    <w:rsid w:val="008B293F"/>
    <w:rsid w:val="008B7371"/>
    <w:rsid w:val="008D1452"/>
    <w:rsid w:val="008D3DDB"/>
    <w:rsid w:val="008E75D5"/>
    <w:rsid w:val="008F573F"/>
    <w:rsid w:val="009034EC"/>
    <w:rsid w:val="0093067A"/>
    <w:rsid w:val="00941C60"/>
    <w:rsid w:val="00962240"/>
    <w:rsid w:val="00966D42"/>
    <w:rsid w:val="00971689"/>
    <w:rsid w:val="00973E90"/>
    <w:rsid w:val="00975B07"/>
    <w:rsid w:val="00980B4A"/>
    <w:rsid w:val="00984DBD"/>
    <w:rsid w:val="009928A4"/>
    <w:rsid w:val="0099636E"/>
    <w:rsid w:val="009D52B5"/>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C17AF"/>
    <w:rsid w:val="00AD3292"/>
    <w:rsid w:val="00AD3FA4"/>
    <w:rsid w:val="00AE7AF0"/>
    <w:rsid w:val="00AF0CED"/>
    <w:rsid w:val="00B500CA"/>
    <w:rsid w:val="00B86314"/>
    <w:rsid w:val="00B9575A"/>
    <w:rsid w:val="00BA1C2E"/>
    <w:rsid w:val="00BC200B"/>
    <w:rsid w:val="00BC313F"/>
    <w:rsid w:val="00BC4756"/>
    <w:rsid w:val="00BC69A4"/>
    <w:rsid w:val="00BC70A2"/>
    <w:rsid w:val="00BD4CBD"/>
    <w:rsid w:val="00BE0680"/>
    <w:rsid w:val="00BE305F"/>
    <w:rsid w:val="00BE7BA3"/>
    <w:rsid w:val="00BF26E2"/>
    <w:rsid w:val="00BF5682"/>
    <w:rsid w:val="00BF6997"/>
    <w:rsid w:val="00BF7B09"/>
    <w:rsid w:val="00C20A95"/>
    <w:rsid w:val="00C2692F"/>
    <w:rsid w:val="00C3207C"/>
    <w:rsid w:val="00C400E1"/>
    <w:rsid w:val="00C41187"/>
    <w:rsid w:val="00C45C29"/>
    <w:rsid w:val="00C60B7D"/>
    <w:rsid w:val="00C63C31"/>
    <w:rsid w:val="00C757A0"/>
    <w:rsid w:val="00C760DE"/>
    <w:rsid w:val="00C82630"/>
    <w:rsid w:val="00C85B4E"/>
    <w:rsid w:val="00C907F7"/>
    <w:rsid w:val="00CA2103"/>
    <w:rsid w:val="00CB4611"/>
    <w:rsid w:val="00CB6B99"/>
    <w:rsid w:val="00CE4871"/>
    <w:rsid w:val="00CE4C87"/>
    <w:rsid w:val="00CE544A"/>
    <w:rsid w:val="00D11E1C"/>
    <w:rsid w:val="00D14359"/>
    <w:rsid w:val="00D160B0"/>
    <w:rsid w:val="00D17F94"/>
    <w:rsid w:val="00D223FC"/>
    <w:rsid w:val="00D26D1E"/>
    <w:rsid w:val="00D474CF"/>
    <w:rsid w:val="00D53F79"/>
    <w:rsid w:val="00D55199"/>
    <w:rsid w:val="00D5547E"/>
    <w:rsid w:val="00D7340B"/>
    <w:rsid w:val="00D869A1"/>
    <w:rsid w:val="00DA413F"/>
    <w:rsid w:val="00DA4584"/>
    <w:rsid w:val="00DA614B"/>
    <w:rsid w:val="00DC3060"/>
    <w:rsid w:val="00DE0FB2"/>
    <w:rsid w:val="00DF093E"/>
    <w:rsid w:val="00E01F42"/>
    <w:rsid w:val="00E206D6"/>
    <w:rsid w:val="00E3366E"/>
    <w:rsid w:val="00E52086"/>
    <w:rsid w:val="00E543A6"/>
    <w:rsid w:val="00E574FF"/>
    <w:rsid w:val="00E60479"/>
    <w:rsid w:val="00E61D73"/>
    <w:rsid w:val="00E73684"/>
    <w:rsid w:val="00E818D6"/>
    <w:rsid w:val="00E83525"/>
    <w:rsid w:val="00E87F7A"/>
    <w:rsid w:val="00E96BD7"/>
    <w:rsid w:val="00EA0DB1"/>
    <w:rsid w:val="00EA0EE9"/>
    <w:rsid w:val="00EB46FA"/>
    <w:rsid w:val="00EB49DF"/>
    <w:rsid w:val="00ED52CA"/>
    <w:rsid w:val="00ED5860"/>
    <w:rsid w:val="00EE35C9"/>
    <w:rsid w:val="00F05ECA"/>
    <w:rsid w:val="00F3566E"/>
    <w:rsid w:val="00F375FB"/>
    <w:rsid w:val="00F41AC1"/>
    <w:rsid w:val="00F4367A"/>
    <w:rsid w:val="00F445B1"/>
    <w:rsid w:val="00F45CD4"/>
    <w:rsid w:val="00F66DCA"/>
    <w:rsid w:val="00F74F53"/>
    <w:rsid w:val="00F7606D"/>
    <w:rsid w:val="00F80373"/>
    <w:rsid w:val="00F81670"/>
    <w:rsid w:val="00F82024"/>
    <w:rsid w:val="00F95BC9"/>
    <w:rsid w:val="00FA624C"/>
    <w:rsid w:val="00FB0D74"/>
    <w:rsid w:val="00FD0FAC"/>
    <w:rsid w:val="00FD1DFA"/>
    <w:rsid w:val="00FD4966"/>
    <w:rsid w:val="00FD6DBD"/>
    <w:rsid w:val="00FE035B"/>
    <w:rsid w:val="00FE57DC"/>
    <w:rsid w:val="00FF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360"/>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343">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eston\Downloads\CEB%20report%20-%20blank%20template%20to%20be%20used%20from%20January%202016%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AC31-F29A-428B-B136-FF45727B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(2)</Template>
  <TotalTime>280</TotalTime>
  <Pages>4</Pages>
  <Words>1330</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 Sequencer Account</dc:creator>
  <cp:lastModifiedBy>JMitchell</cp:lastModifiedBy>
  <cp:revision>6</cp:revision>
  <cp:lastPrinted>2018-09-17T14:25:00Z</cp:lastPrinted>
  <dcterms:created xsi:type="dcterms:W3CDTF">2018-09-17T14:24:00Z</dcterms:created>
  <dcterms:modified xsi:type="dcterms:W3CDTF">2018-10-04T15:46:00Z</dcterms:modified>
</cp:coreProperties>
</file>